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Coordinación y Logística Operativa.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838200</wp:posOffset>
                </wp:positionV>
                <wp:extent cx="5885815" cy="57908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10425"/>
                          <a:ext cx="5885815" cy="579088"/>
                          <a:chOff x="2403075" y="3510425"/>
                          <a:chExt cx="5885850" cy="539150"/>
                        </a:xfrm>
                      </wpg:grpSpPr>
                      <wpg:grpSp>
                        <wpg:cNvGrpSpPr/>
                        <wpg:grpSpPr>
                          <a:xfrm>
                            <a:off x="2403093" y="3510443"/>
                            <a:ext cx="5885815" cy="539115"/>
                            <a:chOff x="2402913" y="3510124"/>
                            <a:chExt cx="5886175" cy="53976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510124"/>
                              <a:ext cx="58861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24"/>
                              <a:ext cx="5886175" cy="539762"/>
                              <a:chOff x="2311653" y="3594580"/>
                              <a:chExt cx="6068695" cy="40129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68695" cy="401298"/>
                                <a:chOff x="0" y="0"/>
                                <a:chExt cx="6068695" cy="40129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600" y="42498"/>
                                  <a:ext cx="5988051" cy="3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27.000000476837158" w:right="0" w:firstLine="54.000000953674316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de formación de canes de búsqueda y localización de personas nivel dos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838200</wp:posOffset>
                </wp:positionV>
                <wp:extent cx="5885815" cy="579088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79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Dirección Cinotécnia perteneciente a la Subsecretaría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Coordinación y Logística Operativa de</w:t>
      </w:r>
      <w:r w:rsidDel="00000000" w:rsidR="00000000" w:rsidRPr="00000000">
        <w:rPr>
          <w:rFonts w:ascii="Arial" w:cs="Arial" w:eastAsia="Arial" w:hAnsi="Arial"/>
          <w:rtl w:val="0"/>
        </w:rPr>
        <w:t xml:space="preserve">l Ministerio de Seguridad propone la capacitación ante la necesidad de profundizar criterios y acciones vistos en el curso de formación inicial de equipos Cinotécnicos (guía y can) orientados a búsqueda y localización de personas con motivo de que los cursantes adquieran herramientas técnicas para su participación activa en el adiestramiento del can.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Funcionarios policiales que hayan aprobado el Curso de formación inicial: Perros de búsqueda y localización de personas.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40 horas reloj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Fecha de inicio y de finalización: 16/7/2025 al 3/9/2025 (cursada día miércoles).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 asistentes.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2214914892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direccioncinotecnia@mseg.gba.gov.ar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reccioncinotecni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Hecr+3DqE+IroFgp9V9RihQrQ==">CgMxLjAyDmguMzhrOHlpbnpiMzE2OAByITE4UU5DRTlIZHhtd3g5Rl81RWZvRXMxMkF6YTVMa0dXSw==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2025-05-05T20:39:00Z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